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E5" w:rsidRDefault="00801FE5" w:rsidP="00801FE5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801FE5" w:rsidRDefault="00801FE5" w:rsidP="00801FE5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801FE5" w:rsidRPr="004820F1" w:rsidRDefault="00801FE5" w:rsidP="00801FE5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4820F1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16</w:t>
      </w:r>
    </w:p>
    <w:p w:rsidR="00801FE5" w:rsidRDefault="00801FE5" w:rsidP="00801FE5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820F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801FE5" w:rsidRPr="004820F1" w:rsidRDefault="00801FE5" w:rsidP="00801FE5">
      <w:pPr>
        <w:shd w:val="clear" w:color="auto" w:fill="FFFFFF"/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4820F1" w:rsidRDefault="00801FE5" w:rsidP="00801FE5">
      <w:pPr>
        <w:shd w:val="clear" w:color="auto" w:fill="FFFFFF"/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08.06.</w:t>
      </w: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2018 г.,  1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</w:t>
      </w:r>
      <w:r w:rsidRPr="004820F1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00 мин.</w:t>
      </w:r>
    </w:p>
    <w:p w:rsidR="00801FE5" w:rsidRPr="004820F1" w:rsidRDefault="00801FE5" w:rsidP="00801FE5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20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4820F1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801FE5" w:rsidRPr="004820F1" w:rsidRDefault="00801FE5" w:rsidP="00801FE5">
      <w:pPr>
        <w:suppressAutoHyphens/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801FE5" w:rsidRPr="00801FE5" w:rsidRDefault="00801FE5" w:rsidP="00801FE5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Воронов.</w:t>
      </w:r>
    </w:p>
    <w:p w:rsidR="00801FE5" w:rsidRPr="00801FE5" w:rsidRDefault="00801FE5" w:rsidP="00801FE5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801FE5" w:rsidRPr="00801FE5" w:rsidRDefault="00801FE5" w:rsidP="00801FE5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801FE5" w:rsidRPr="00801FE5" w:rsidRDefault="00801FE5" w:rsidP="00801FE5">
      <w:pPr>
        <w:suppressAutoHyphens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01FE5" w:rsidRPr="00801FE5" w:rsidTr="00717819">
        <w:trPr>
          <w:trHeight w:val="236"/>
        </w:trPr>
        <w:tc>
          <w:tcPr>
            <w:tcW w:w="9855" w:type="dxa"/>
          </w:tcPr>
          <w:p w:rsidR="00801FE5" w:rsidRPr="00801FE5" w:rsidRDefault="00801FE5" w:rsidP="00717819">
            <w:pPr>
              <w:suppressAutoHyphens/>
              <w:spacing w:before="120"/>
              <w:ind w:left="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801FE5" w:rsidRPr="00801FE5" w:rsidTr="00717819">
        <w:trPr>
          <w:trHeight w:val="236"/>
        </w:trPr>
        <w:tc>
          <w:tcPr>
            <w:tcW w:w="9855" w:type="dxa"/>
          </w:tcPr>
          <w:p w:rsidR="00801FE5" w:rsidRPr="00801FE5" w:rsidRDefault="00801FE5" w:rsidP="00717819">
            <w:pPr>
              <w:tabs>
                <w:tab w:val="left" w:pos="687"/>
                <w:tab w:val="left" w:pos="837"/>
              </w:tabs>
              <w:suppressAutoHyphens/>
              <w:ind w:left="283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801FE5" w:rsidRPr="00801FE5" w:rsidRDefault="00801FE5" w:rsidP="00717819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Ломакин Ю.В.</w:t>
            </w:r>
            <w:r w:rsidRPr="00801F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   - директор ООО «Устой-М»;</w:t>
            </w:r>
          </w:p>
          <w:p w:rsidR="00801FE5" w:rsidRPr="00801FE5" w:rsidRDefault="00801FE5" w:rsidP="00717819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Полетаев В.В.      - генеральный директор ООО «</w:t>
            </w:r>
            <w:proofErr w:type="spellStart"/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Парамушир</w:t>
            </w:r>
            <w:proofErr w:type="spellEnd"/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-Град»;</w:t>
            </w:r>
          </w:p>
        </w:tc>
      </w:tr>
      <w:tr w:rsidR="00801FE5" w:rsidRPr="00801FE5" w:rsidTr="00717819">
        <w:trPr>
          <w:trHeight w:val="236"/>
        </w:trPr>
        <w:tc>
          <w:tcPr>
            <w:tcW w:w="9855" w:type="dxa"/>
          </w:tcPr>
          <w:p w:rsidR="00801FE5" w:rsidRPr="00801FE5" w:rsidRDefault="00801FE5" w:rsidP="00717819">
            <w:pPr>
              <w:suppressAutoHyphens/>
              <w:ind w:left="283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Поплавский А.В. -  генеральный директор АО «</w:t>
            </w:r>
            <w:proofErr w:type="spellStart"/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Камчатмонтажспецстрой</w:t>
            </w:r>
            <w:proofErr w:type="spellEnd"/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  <w:tr w:rsidR="00801FE5" w:rsidRPr="00801FE5" w:rsidTr="00717819">
        <w:trPr>
          <w:trHeight w:val="59"/>
        </w:trPr>
        <w:tc>
          <w:tcPr>
            <w:tcW w:w="9855" w:type="dxa"/>
          </w:tcPr>
          <w:p w:rsidR="00801FE5" w:rsidRPr="00801FE5" w:rsidRDefault="00801FE5" w:rsidP="00717819">
            <w:pPr>
              <w:suppressAutoHyphens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1FE5">
              <w:rPr>
                <w:rFonts w:ascii="Times New Roman" w:eastAsia="Calibri" w:hAnsi="Times New Roman" w:cs="Times New Roman"/>
                <w:sz w:val="28"/>
                <w:szCs w:val="28"/>
              </w:rPr>
              <w:t>Шевченко С.В.    -  директор ООО «СИГМА-К».</w:t>
            </w:r>
          </w:p>
          <w:p w:rsidR="00801FE5" w:rsidRPr="00801FE5" w:rsidRDefault="00801FE5" w:rsidP="00717819">
            <w:pPr>
              <w:suppressAutoHyphens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01FE5" w:rsidRPr="00801FE5" w:rsidRDefault="00801FE5" w:rsidP="00801FE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801FE5" w:rsidRPr="00801FE5" w:rsidRDefault="00801FE5" w:rsidP="00801FE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801F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801F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– президент Союза строителей Камчатки;</w:t>
      </w:r>
    </w:p>
    <w:p w:rsidR="00801FE5" w:rsidRPr="00801FE5" w:rsidRDefault="00801FE5" w:rsidP="00801FE5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– заместитель президента – начальника </w:t>
      </w:r>
      <w:proofErr w:type="gramStart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 контроля Союза строителей Камчатки</w:t>
      </w:r>
      <w:proofErr w:type="gramEnd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801FE5" w:rsidRPr="00801FE5" w:rsidTr="00717819">
        <w:trPr>
          <w:trHeight w:val="282"/>
        </w:trPr>
        <w:tc>
          <w:tcPr>
            <w:tcW w:w="9504" w:type="dxa"/>
          </w:tcPr>
          <w:p w:rsidR="00801FE5" w:rsidRPr="00801FE5" w:rsidRDefault="00801FE5" w:rsidP="00717819">
            <w:pPr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01FE5" w:rsidRPr="00801FE5" w:rsidRDefault="00801FE5" w:rsidP="00801FE5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801FE5" w:rsidRPr="00801FE5" w:rsidRDefault="00801FE5" w:rsidP="00801FE5">
      <w:pPr>
        <w:numPr>
          <w:ilvl w:val="0"/>
          <w:numId w:val="2"/>
        </w:numPr>
        <w:suppressAutoHyphens/>
        <w:spacing w:before="120" w:after="0" w:line="240" w:lineRule="auto"/>
        <w:ind w:left="73" w:hanging="35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01FE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внесении изменений в реестр членов Союза строителей Камчатки.</w:t>
      </w:r>
    </w:p>
    <w:p w:rsidR="00801FE5" w:rsidRPr="00801FE5" w:rsidRDefault="00801FE5" w:rsidP="00801FE5">
      <w:pPr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801FE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Докладчик  Новикова Н.И.</w:t>
      </w:r>
    </w:p>
    <w:p w:rsidR="00801FE5" w:rsidRPr="00801FE5" w:rsidRDefault="00801FE5" w:rsidP="00801FE5">
      <w:pPr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01FE5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2. О приеме в члены Союза строителей Камчатки.</w:t>
      </w:r>
    </w:p>
    <w:p w:rsidR="00801FE5" w:rsidRPr="00801FE5" w:rsidRDefault="00801FE5" w:rsidP="00801FE5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01FE5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Докладчик Новикова Н.И.</w:t>
      </w:r>
    </w:p>
    <w:p w:rsidR="00801FE5" w:rsidRPr="00801FE5" w:rsidRDefault="00801FE5" w:rsidP="00801FE5">
      <w:pPr>
        <w:suppressAutoHyphens/>
        <w:spacing w:after="0" w:line="240" w:lineRule="auto"/>
        <w:ind w:left="-284" w:hanging="567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  <w:t xml:space="preserve">         ____________________________________________________________________</w:t>
      </w:r>
    </w:p>
    <w:p w:rsidR="00801FE5" w:rsidRPr="00801FE5" w:rsidRDefault="00801FE5" w:rsidP="00801FE5">
      <w:pPr>
        <w:suppressAutoHyphens/>
        <w:spacing w:after="0" w:line="240" w:lineRule="auto"/>
        <w:ind w:left="-284" w:hanging="567"/>
        <w:rPr>
          <w:rFonts w:ascii="Times New Roman" w:eastAsia="Times New Roman" w:hAnsi="Times New Roman" w:cs="Times New Roman"/>
          <w:kern w:val="28"/>
          <w:sz w:val="28"/>
          <w:szCs w:val="28"/>
          <w:lang w:eastAsia="ar-SA"/>
        </w:rPr>
      </w:pPr>
    </w:p>
    <w:p w:rsidR="00801FE5" w:rsidRPr="00801FE5" w:rsidRDefault="00801FE5" w:rsidP="00801FE5">
      <w:pPr>
        <w:numPr>
          <w:ilvl w:val="0"/>
          <w:numId w:val="1"/>
        </w:numPr>
        <w:tabs>
          <w:tab w:val="left" w:pos="142"/>
          <w:tab w:val="left" w:pos="3024"/>
          <w:tab w:val="center" w:pos="4395"/>
        </w:tabs>
        <w:suppressAutoHyphens/>
        <w:spacing w:after="0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СЛУШАЛИ:  Новикову Н.И. о поступивш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120C3" w:rsidRDefault="00801FE5" w:rsidP="00896EA9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801FE5">
        <w:rPr>
          <w:sz w:val="28"/>
          <w:szCs w:val="28"/>
        </w:rPr>
        <w:t xml:space="preserve">      </w:t>
      </w:r>
      <w:r w:rsidR="001120C3">
        <w:rPr>
          <w:sz w:val="28"/>
          <w:szCs w:val="28"/>
        </w:rPr>
        <w:t xml:space="preserve"> </w:t>
      </w:r>
      <w:r w:rsidRPr="00801FE5">
        <w:rPr>
          <w:sz w:val="28"/>
          <w:szCs w:val="28"/>
        </w:rPr>
        <w:t xml:space="preserve"> </w:t>
      </w:r>
      <w:r w:rsidR="001120C3">
        <w:rPr>
          <w:sz w:val="28"/>
          <w:szCs w:val="28"/>
        </w:rPr>
        <w:t xml:space="preserve">общества с ограниченной ответственностью «Новый Горизонт» (ИНН </w:t>
      </w:r>
      <w:r w:rsidR="001120C3" w:rsidRPr="00801FE5">
        <w:rPr>
          <w:sz w:val="28"/>
          <w:szCs w:val="28"/>
        </w:rPr>
        <w:t>4101138309</w:t>
      </w:r>
      <w:r w:rsidR="001120C3">
        <w:rPr>
          <w:sz w:val="28"/>
          <w:szCs w:val="28"/>
        </w:rPr>
        <w:t xml:space="preserve">, ОГРН </w:t>
      </w:r>
      <w:r w:rsidR="001120C3" w:rsidRPr="00801FE5">
        <w:rPr>
          <w:sz w:val="28"/>
          <w:szCs w:val="28"/>
        </w:rPr>
        <w:t>1104101002950</w:t>
      </w:r>
      <w:r w:rsidR="001120C3">
        <w:rPr>
          <w:sz w:val="28"/>
          <w:szCs w:val="28"/>
        </w:rPr>
        <w:t>),</w:t>
      </w:r>
    </w:p>
    <w:p w:rsidR="00801FE5" w:rsidRDefault="001120C3" w:rsidP="00896EA9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01FE5" w:rsidRPr="00801FE5">
        <w:rPr>
          <w:sz w:val="28"/>
          <w:szCs w:val="28"/>
        </w:rPr>
        <w:t>общества с ограниченной ответственностью «</w:t>
      </w:r>
      <w:proofErr w:type="spellStart"/>
      <w:r w:rsidR="00801FE5">
        <w:rPr>
          <w:sz w:val="28"/>
          <w:szCs w:val="28"/>
        </w:rPr>
        <w:t>Камэнергострой</w:t>
      </w:r>
      <w:proofErr w:type="spellEnd"/>
      <w:r w:rsidR="00801FE5" w:rsidRPr="00801FE5">
        <w:rPr>
          <w:sz w:val="28"/>
          <w:szCs w:val="28"/>
        </w:rPr>
        <w:t>» (ИНН 4101158320, ОГРН 1134101003376),</w:t>
      </w:r>
    </w:p>
    <w:p w:rsidR="00801FE5" w:rsidRPr="00801FE5" w:rsidRDefault="00801FE5" w:rsidP="001120C3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1FE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>
        <w:rPr>
          <w:sz w:val="28"/>
          <w:szCs w:val="28"/>
        </w:rPr>
        <w:t>и</w:t>
      </w:r>
      <w:r w:rsidRPr="00801FE5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Pr="00801FE5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Pr="00801FE5">
        <w:rPr>
          <w:sz w:val="28"/>
          <w:szCs w:val="28"/>
        </w:rPr>
        <w:t xml:space="preserve">  документов и   проверки   достоверности   поступивших сведений.</w:t>
      </w:r>
    </w:p>
    <w:p w:rsidR="00801FE5" w:rsidRPr="00801FE5" w:rsidRDefault="00801FE5" w:rsidP="00801FE5">
      <w:pPr>
        <w:tabs>
          <w:tab w:val="left" w:pos="426"/>
          <w:tab w:val="left" w:pos="3024"/>
        </w:tabs>
        <w:suppressAutoHyphens/>
        <w:spacing w:after="0"/>
        <w:ind w:left="-284"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Default="00801FE5" w:rsidP="00801FE5">
      <w:pPr>
        <w:tabs>
          <w:tab w:val="left" w:pos="284"/>
          <w:tab w:val="left" w:pos="3024"/>
        </w:tabs>
        <w:suppressAutoHyphens/>
        <w:spacing w:after="0" w:line="240" w:lineRule="auto"/>
        <w:ind w:left="-284"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РЕШИЛИ: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801FE5" w:rsidRPr="00801FE5" w:rsidRDefault="00801FE5" w:rsidP="00801FE5">
      <w:pPr>
        <w:pStyle w:val="a4"/>
        <w:numPr>
          <w:ilvl w:val="1"/>
          <w:numId w:val="2"/>
        </w:numPr>
        <w:tabs>
          <w:tab w:val="left" w:pos="284"/>
          <w:tab w:val="left" w:pos="3024"/>
        </w:tabs>
        <w:ind w:right="-3"/>
        <w:jc w:val="both"/>
        <w:rPr>
          <w:sz w:val="28"/>
          <w:szCs w:val="28"/>
        </w:rPr>
      </w:pPr>
      <w:r w:rsidRPr="00801FE5">
        <w:rPr>
          <w:sz w:val="28"/>
          <w:szCs w:val="28"/>
        </w:rPr>
        <w:t xml:space="preserve">Рассмотрев  заявление  общества  с  ограниченной ответственностью </w:t>
      </w:r>
    </w:p>
    <w:p w:rsidR="00896EA9" w:rsidRDefault="00801FE5" w:rsidP="00896EA9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801FE5">
        <w:rPr>
          <w:sz w:val="28"/>
          <w:szCs w:val="28"/>
        </w:rPr>
        <w:t xml:space="preserve">«Новый Горизонт» (ИНН 4101138309, ОГРН 1104101002950) от </w:t>
      </w:r>
      <w:r w:rsidR="00896EA9">
        <w:rPr>
          <w:sz w:val="28"/>
          <w:szCs w:val="28"/>
        </w:rPr>
        <w:t>05.06.2018г.</w:t>
      </w:r>
    </w:p>
    <w:p w:rsidR="00896EA9" w:rsidRDefault="00896EA9" w:rsidP="00896EA9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</w:p>
    <w:p w:rsidR="00896EA9" w:rsidRDefault="00896EA9" w:rsidP="00801FE5">
      <w:pPr>
        <w:pStyle w:val="a4"/>
        <w:tabs>
          <w:tab w:val="left" w:pos="284"/>
          <w:tab w:val="left" w:pos="3024"/>
        </w:tabs>
        <w:ind w:left="1036" w:right="-3"/>
        <w:jc w:val="both"/>
        <w:rPr>
          <w:sz w:val="28"/>
          <w:szCs w:val="28"/>
        </w:rPr>
      </w:pPr>
    </w:p>
    <w:p w:rsidR="00896EA9" w:rsidRDefault="00896EA9" w:rsidP="00801FE5">
      <w:pPr>
        <w:pStyle w:val="a4"/>
        <w:tabs>
          <w:tab w:val="left" w:pos="284"/>
          <w:tab w:val="left" w:pos="3024"/>
        </w:tabs>
        <w:ind w:left="1036" w:right="-3"/>
        <w:jc w:val="both"/>
        <w:rPr>
          <w:sz w:val="28"/>
          <w:szCs w:val="28"/>
        </w:rPr>
      </w:pPr>
    </w:p>
    <w:p w:rsidR="00801FE5" w:rsidRPr="00801FE5" w:rsidRDefault="00896EA9" w:rsidP="001120C3">
      <w:pPr>
        <w:tabs>
          <w:tab w:val="left" w:pos="284"/>
        </w:tabs>
        <w:suppressAutoHyphens/>
        <w:spacing w:before="120" w:after="0" w:line="240" w:lineRule="auto"/>
        <w:ind w:left="-284"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801FE5"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внесении  изменений  в  реестр членов  Союза «Саморегулируемая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строителей  Камчатки »,</w:t>
      </w:r>
      <w:r w:rsidR="00801FE5" w:rsidRPr="00801FE5">
        <w:rPr>
          <w:rFonts w:ascii="Times New Roman" w:hAnsi="Times New Roman" w:cs="Times New Roman"/>
          <w:sz w:val="28"/>
          <w:szCs w:val="28"/>
        </w:rPr>
        <w:t xml:space="preserve">  в   связи  с  осуществлением  строительства, реконструкции,  капитального  ремонта  объектов  капитального  строительства, стоимость которого по одному договору не превышает </w:t>
      </w:r>
      <w:r>
        <w:rPr>
          <w:rFonts w:ascii="Times New Roman" w:hAnsi="Times New Roman" w:cs="Times New Roman"/>
          <w:sz w:val="28"/>
          <w:szCs w:val="28"/>
        </w:rPr>
        <w:t xml:space="preserve">трех миллиардов </w:t>
      </w:r>
      <w:r w:rsidR="00801FE5" w:rsidRPr="00801FE5">
        <w:rPr>
          <w:rFonts w:ascii="Times New Roman" w:hAnsi="Times New Roman" w:cs="Times New Roman"/>
          <w:sz w:val="28"/>
          <w:szCs w:val="28"/>
        </w:rPr>
        <w:t>рублей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1FE5" w:rsidRPr="00801FE5">
        <w:rPr>
          <w:rFonts w:ascii="Times New Roman" w:hAnsi="Times New Roman" w:cs="Times New Roman"/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="00801FE5" w:rsidRPr="00801F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01FE5" w:rsidRPr="00801FE5">
        <w:rPr>
          <w:rFonts w:ascii="Times New Roman" w:hAnsi="Times New Roman" w:cs="Times New Roman"/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rFonts w:ascii="Times New Roman" w:hAnsi="Times New Roman" w:cs="Times New Roman"/>
          <w:sz w:val="28"/>
          <w:szCs w:val="28"/>
        </w:rPr>
        <w:t>трех миллиардов</w:t>
      </w:r>
      <w:r w:rsidR="00801FE5" w:rsidRPr="00801F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FE5" w:rsidRPr="00801FE5">
        <w:rPr>
          <w:rFonts w:ascii="Times New Roman" w:hAnsi="Times New Roman" w:cs="Times New Roman"/>
          <w:sz w:val="28"/>
          <w:szCs w:val="28"/>
        </w:rPr>
        <w:t>рублей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1FE5" w:rsidRPr="00801FE5">
        <w:rPr>
          <w:rFonts w:ascii="Times New Roman" w:hAnsi="Times New Roman" w:cs="Times New Roman"/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>
        <w:rPr>
          <w:rFonts w:ascii="Times New Roman" w:hAnsi="Times New Roman" w:cs="Times New Roman"/>
          <w:sz w:val="28"/>
          <w:szCs w:val="28"/>
        </w:rPr>
        <w:t>07.06.</w:t>
      </w:r>
      <w:r w:rsidR="00801FE5" w:rsidRPr="00801FE5">
        <w:rPr>
          <w:rFonts w:ascii="Times New Roman" w:hAnsi="Times New Roman" w:cs="Times New Roman"/>
          <w:sz w:val="28"/>
          <w:szCs w:val="28"/>
        </w:rPr>
        <w:t>2018 г., рекомендации  Контрольной  комиссии (протокол № 1</w:t>
      </w:r>
      <w:r w:rsidR="001120C3">
        <w:rPr>
          <w:rFonts w:ascii="Times New Roman" w:hAnsi="Times New Roman" w:cs="Times New Roman"/>
          <w:sz w:val="28"/>
          <w:szCs w:val="28"/>
        </w:rPr>
        <w:t>8</w:t>
      </w:r>
      <w:r w:rsidR="00801FE5" w:rsidRPr="00801FE5">
        <w:rPr>
          <w:rFonts w:ascii="Times New Roman" w:hAnsi="Times New Roman" w:cs="Times New Roman"/>
          <w:sz w:val="28"/>
          <w:szCs w:val="28"/>
        </w:rPr>
        <w:t xml:space="preserve"> от </w:t>
      </w:r>
      <w:r w:rsidR="001120C3">
        <w:rPr>
          <w:rFonts w:ascii="Times New Roman" w:hAnsi="Times New Roman" w:cs="Times New Roman"/>
          <w:sz w:val="28"/>
          <w:szCs w:val="28"/>
        </w:rPr>
        <w:t>08.06.</w:t>
      </w:r>
      <w:r w:rsidR="00801FE5" w:rsidRPr="00801FE5">
        <w:rPr>
          <w:rFonts w:ascii="Times New Roman" w:hAnsi="Times New Roman" w:cs="Times New Roman"/>
          <w:sz w:val="28"/>
          <w:szCs w:val="28"/>
        </w:rPr>
        <w:t>2018 г.),</w:t>
      </w:r>
      <w:proofErr w:type="gramEnd"/>
    </w:p>
    <w:p w:rsidR="00801FE5" w:rsidRPr="00801FE5" w:rsidRDefault="00801FE5" w:rsidP="001120C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 ч. 3, ч.5  ст. 55.8, ч.3 ст. 55.17 Градостроительного кодекса  РФ,      </w:t>
      </w:r>
    </w:p>
    <w:p w:rsidR="00801FE5" w:rsidRPr="00801FE5" w:rsidRDefault="00801FE5" w:rsidP="001120C3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801FE5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1120C3">
        <w:rPr>
          <w:sz w:val="28"/>
          <w:szCs w:val="28"/>
        </w:rPr>
        <w:t xml:space="preserve">«Новый Горизонт» (ИНН </w:t>
      </w:r>
      <w:r w:rsidR="001120C3" w:rsidRPr="00801FE5">
        <w:rPr>
          <w:sz w:val="28"/>
          <w:szCs w:val="28"/>
        </w:rPr>
        <w:t>4101138309</w:t>
      </w:r>
      <w:r w:rsidR="001120C3">
        <w:rPr>
          <w:sz w:val="28"/>
          <w:szCs w:val="28"/>
        </w:rPr>
        <w:t xml:space="preserve">, ОГРН </w:t>
      </w:r>
      <w:r w:rsidR="001120C3" w:rsidRPr="00801FE5">
        <w:rPr>
          <w:sz w:val="28"/>
          <w:szCs w:val="28"/>
        </w:rPr>
        <w:t>1104101002950</w:t>
      </w:r>
      <w:r w:rsidR="001120C3">
        <w:rPr>
          <w:sz w:val="28"/>
          <w:szCs w:val="28"/>
        </w:rPr>
        <w:t xml:space="preserve">), </w:t>
      </w:r>
      <w:r w:rsidRPr="00801FE5">
        <w:rPr>
          <w:sz w:val="28"/>
          <w:szCs w:val="28"/>
        </w:rPr>
        <w:t>согласно заявлению.</w:t>
      </w:r>
    </w:p>
    <w:p w:rsidR="00801FE5" w:rsidRPr="00801FE5" w:rsidRDefault="00801FE5" w:rsidP="005D603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801FE5" w:rsidRDefault="00801FE5" w:rsidP="001120C3">
      <w:pPr>
        <w:tabs>
          <w:tab w:val="left" w:pos="142"/>
          <w:tab w:val="left" w:pos="284"/>
          <w:tab w:val="center" w:pos="4395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1120C3" w:rsidRDefault="001120C3" w:rsidP="001120C3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1120C3">
        <w:rPr>
          <w:sz w:val="28"/>
          <w:szCs w:val="28"/>
        </w:rPr>
        <w:t xml:space="preserve">        1.</w:t>
      </w:r>
      <w:r>
        <w:rPr>
          <w:sz w:val="28"/>
          <w:szCs w:val="28"/>
        </w:rPr>
        <w:t>2</w:t>
      </w:r>
      <w:r w:rsidRPr="001120C3">
        <w:rPr>
          <w:sz w:val="28"/>
          <w:szCs w:val="28"/>
        </w:rPr>
        <w:t xml:space="preserve">. Рассмотрев  заявление  общества с ограниченной ответственностью </w:t>
      </w:r>
      <w:r w:rsidRPr="00801FE5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Камэнергострой</w:t>
      </w:r>
      <w:proofErr w:type="spellEnd"/>
      <w:r w:rsidRPr="00801FE5">
        <w:rPr>
          <w:sz w:val="28"/>
          <w:szCs w:val="28"/>
        </w:rPr>
        <w:t>» (ИНН 4101158320, ОГРН 1134101003376</w:t>
      </w:r>
      <w:r>
        <w:rPr>
          <w:sz w:val="28"/>
          <w:szCs w:val="28"/>
        </w:rPr>
        <w:t xml:space="preserve">) </w:t>
      </w:r>
      <w:r w:rsidRPr="001120C3">
        <w:rPr>
          <w:sz w:val="28"/>
          <w:szCs w:val="28"/>
        </w:rPr>
        <w:t xml:space="preserve">от  </w:t>
      </w:r>
      <w:r>
        <w:rPr>
          <w:sz w:val="28"/>
          <w:szCs w:val="28"/>
        </w:rPr>
        <w:t>06.06.</w:t>
      </w:r>
      <w:r w:rsidRPr="001120C3">
        <w:rPr>
          <w:sz w:val="28"/>
          <w:szCs w:val="28"/>
        </w:rPr>
        <w:t>2018 г.  о внесении  изменений  в  реестр членов  Союза «Саморегулируемая организация строителей Камчатки», в связи с  намерением принимать участие в заключени</w:t>
      </w:r>
      <w:proofErr w:type="gramStart"/>
      <w:r w:rsidRPr="001120C3">
        <w:rPr>
          <w:sz w:val="28"/>
          <w:szCs w:val="28"/>
        </w:rPr>
        <w:t>и</w:t>
      </w:r>
      <w:proofErr w:type="gramEnd"/>
      <w:r w:rsidRPr="001120C3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шестьдесят миллионов рублей (1</w:t>
      </w:r>
      <w:r w:rsidRPr="001120C3">
        <w:rPr>
          <w:sz w:val="28"/>
          <w:szCs w:val="28"/>
        </w:rPr>
        <w:t xml:space="preserve">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07.06.</w:t>
      </w:r>
      <w:r w:rsidRPr="001120C3">
        <w:rPr>
          <w:sz w:val="28"/>
          <w:szCs w:val="28"/>
        </w:rPr>
        <w:t xml:space="preserve">2018 г., рекомендации  Контрольной  комиссии </w:t>
      </w:r>
      <w:r w:rsidRPr="00801FE5">
        <w:rPr>
          <w:sz w:val="28"/>
          <w:szCs w:val="28"/>
        </w:rPr>
        <w:t>(протокол № 1</w:t>
      </w:r>
      <w:r>
        <w:rPr>
          <w:sz w:val="28"/>
          <w:szCs w:val="28"/>
        </w:rPr>
        <w:t>8</w:t>
      </w:r>
      <w:r w:rsidRPr="00801FE5">
        <w:rPr>
          <w:sz w:val="28"/>
          <w:szCs w:val="28"/>
        </w:rPr>
        <w:t xml:space="preserve"> от </w:t>
      </w:r>
      <w:r>
        <w:rPr>
          <w:sz w:val="28"/>
          <w:szCs w:val="28"/>
        </w:rPr>
        <w:t>08.06.</w:t>
      </w:r>
      <w:r w:rsidRPr="00801FE5">
        <w:rPr>
          <w:sz w:val="28"/>
          <w:szCs w:val="28"/>
        </w:rPr>
        <w:t>2018 г.),</w:t>
      </w:r>
    </w:p>
    <w:p w:rsidR="001120C3" w:rsidRPr="001120C3" w:rsidRDefault="001120C3" w:rsidP="001120C3">
      <w:pPr>
        <w:pStyle w:val="a4"/>
        <w:tabs>
          <w:tab w:val="left" w:pos="567"/>
        </w:tabs>
        <w:ind w:left="-284"/>
        <w:jc w:val="both"/>
        <w:rPr>
          <w:sz w:val="28"/>
          <w:szCs w:val="28"/>
        </w:rPr>
      </w:pPr>
      <w:r w:rsidRPr="001120C3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1120C3" w:rsidRPr="001120C3" w:rsidRDefault="001120C3" w:rsidP="001120C3">
      <w:pPr>
        <w:tabs>
          <w:tab w:val="left" w:pos="284"/>
        </w:tabs>
        <w:suppressAutoHyphens/>
        <w:spacing w:after="0" w:line="240" w:lineRule="auto"/>
        <w:ind w:left="-284"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1120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20C3">
        <w:rPr>
          <w:rFonts w:ascii="Times New Roman" w:hAnsi="Times New Roman" w:cs="Times New Roman"/>
          <w:sz w:val="28"/>
          <w:szCs w:val="28"/>
        </w:rPr>
        <w:t>Камэнергострой</w:t>
      </w:r>
      <w:proofErr w:type="spellEnd"/>
      <w:r w:rsidRPr="001120C3">
        <w:rPr>
          <w:rFonts w:ascii="Times New Roman" w:hAnsi="Times New Roman" w:cs="Times New Roman"/>
          <w:sz w:val="28"/>
          <w:szCs w:val="28"/>
        </w:rPr>
        <w:t>» (ИНН 4101158320, ОГРН 1134101003376</w:t>
      </w:r>
      <w:r w:rsidRP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), согласно заявлению.</w:t>
      </w:r>
    </w:p>
    <w:p w:rsidR="001120C3" w:rsidRPr="001120C3" w:rsidRDefault="001120C3" w:rsidP="001120C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«ЗА»: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; «ПРОТИВ»: 0; «ВОЗДЕРЖАЛИСЬ»: 0.</w:t>
      </w:r>
    </w:p>
    <w:p w:rsidR="001120C3" w:rsidRPr="001120C3" w:rsidRDefault="001120C3" w:rsidP="001120C3">
      <w:pPr>
        <w:tabs>
          <w:tab w:val="left" w:pos="142"/>
          <w:tab w:val="center" w:pos="4395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801FE5" w:rsidRPr="00801FE5" w:rsidRDefault="00801FE5" w:rsidP="001120C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2. СЛУШАЛИ:   Новикову Н.И. о поступивш</w:t>
      </w:r>
      <w:r w:rsid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заявлени</w:t>
      </w:r>
      <w:r w:rsid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120C3" w:rsidRDefault="001120C3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0C3" w:rsidRDefault="001120C3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0C3" w:rsidRDefault="001120C3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1120C3" w:rsidRDefault="001120C3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2122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821225" w:rsidRPr="008212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1225" w:rsidRPr="00821225" w:rsidRDefault="0082122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01FE5" w:rsidRDefault="00801FE5" w:rsidP="001120C3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801FE5" w:rsidRPr="00801FE5" w:rsidRDefault="00801FE5" w:rsidP="001120C3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представленных данным   юридическим   лиц</w:t>
      </w:r>
      <w:r w:rsidR="001120C3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                                                                                                 </w:t>
      </w:r>
    </w:p>
    <w:p w:rsidR="001120C3" w:rsidRDefault="002D4BD0" w:rsidP="002D4BD0">
      <w:pPr>
        <w:pStyle w:val="a4"/>
        <w:tabs>
          <w:tab w:val="left" w:pos="426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801FE5" w:rsidRPr="00801FE5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1120C3" w:rsidRPr="00801FE5">
        <w:rPr>
          <w:sz w:val="28"/>
          <w:szCs w:val="28"/>
        </w:rPr>
        <w:t>«</w:t>
      </w:r>
      <w:r w:rsidR="001120C3">
        <w:rPr>
          <w:sz w:val="28"/>
          <w:szCs w:val="28"/>
        </w:rPr>
        <w:t>Арзамас</w:t>
      </w:r>
      <w:r w:rsidR="001120C3" w:rsidRPr="00801FE5">
        <w:rPr>
          <w:sz w:val="28"/>
          <w:szCs w:val="28"/>
        </w:rPr>
        <w:t>» (ИНН 410</w:t>
      </w:r>
      <w:r w:rsidR="001120C3">
        <w:rPr>
          <w:sz w:val="28"/>
          <w:szCs w:val="28"/>
        </w:rPr>
        <w:t>1152350</w:t>
      </w:r>
      <w:r w:rsidR="001120C3" w:rsidRPr="00801FE5">
        <w:rPr>
          <w:sz w:val="28"/>
          <w:szCs w:val="28"/>
        </w:rPr>
        <w:t xml:space="preserve">, ОГРН </w:t>
      </w:r>
      <w:r w:rsidR="001120C3">
        <w:rPr>
          <w:sz w:val="28"/>
          <w:szCs w:val="28"/>
        </w:rPr>
        <w:t xml:space="preserve">1124101006039) </w:t>
      </w:r>
      <w:r w:rsidR="00801FE5" w:rsidRPr="00801FE5">
        <w:rPr>
          <w:sz w:val="28"/>
          <w:szCs w:val="28"/>
        </w:rPr>
        <w:t xml:space="preserve"> от  </w:t>
      </w:r>
      <w:r w:rsidR="001120C3">
        <w:rPr>
          <w:sz w:val="28"/>
          <w:szCs w:val="28"/>
        </w:rPr>
        <w:t>06.06.</w:t>
      </w:r>
      <w:r w:rsidR="00801FE5" w:rsidRPr="00801FE5">
        <w:rPr>
          <w:sz w:val="28"/>
          <w:szCs w:val="28"/>
        </w:rPr>
        <w:t>2018 г.  о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</w:t>
      </w:r>
      <w:r>
        <w:rPr>
          <w:sz w:val="28"/>
          <w:szCs w:val="28"/>
        </w:rPr>
        <w:t xml:space="preserve">  </w:t>
      </w:r>
      <w:r w:rsidR="00801FE5" w:rsidRPr="00801FE5">
        <w:rPr>
          <w:sz w:val="28"/>
          <w:szCs w:val="28"/>
        </w:rPr>
        <w:t xml:space="preserve"> Камчатки </w:t>
      </w:r>
      <w:r>
        <w:rPr>
          <w:sz w:val="28"/>
          <w:szCs w:val="28"/>
        </w:rPr>
        <w:t xml:space="preserve">  </w:t>
      </w:r>
      <w:r w:rsidR="00801FE5" w:rsidRPr="00801FE5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801FE5" w:rsidRPr="00801FE5">
        <w:rPr>
          <w:sz w:val="28"/>
          <w:szCs w:val="28"/>
        </w:rPr>
        <w:t xml:space="preserve"> целях   осуществления    строительства,   реконструкции,   капитального  ремонта объектов капитального строительства, стоимость которого по одному договору не превышает шестьдесят  миллионов рублей (1 уровень</w:t>
      </w:r>
      <w:r w:rsidR="005D6035">
        <w:rPr>
          <w:sz w:val="28"/>
          <w:szCs w:val="28"/>
        </w:rPr>
        <w:t xml:space="preserve"> ответственности), </w:t>
      </w:r>
      <w:r w:rsidR="00801FE5" w:rsidRPr="00801FE5">
        <w:rPr>
          <w:sz w:val="28"/>
          <w:szCs w:val="28"/>
        </w:rPr>
        <w:t>акт контрольной проверки от</w:t>
      </w:r>
      <w:proofErr w:type="gramEnd"/>
      <w:r w:rsidR="00801FE5" w:rsidRPr="00801FE5">
        <w:rPr>
          <w:sz w:val="28"/>
          <w:szCs w:val="28"/>
        </w:rPr>
        <w:t xml:space="preserve"> </w:t>
      </w:r>
      <w:r w:rsidR="001120C3">
        <w:rPr>
          <w:sz w:val="28"/>
          <w:szCs w:val="28"/>
        </w:rPr>
        <w:t>07.06.</w:t>
      </w:r>
      <w:r w:rsidR="00801FE5" w:rsidRPr="00801FE5">
        <w:rPr>
          <w:sz w:val="28"/>
          <w:szCs w:val="28"/>
        </w:rPr>
        <w:t xml:space="preserve">2018 г., рекомендации  Контрольной  комиссии  </w:t>
      </w:r>
      <w:r w:rsidR="001120C3" w:rsidRPr="00801FE5">
        <w:rPr>
          <w:sz w:val="28"/>
          <w:szCs w:val="28"/>
        </w:rPr>
        <w:t>(протокол № 1</w:t>
      </w:r>
      <w:r w:rsidR="001120C3">
        <w:rPr>
          <w:sz w:val="28"/>
          <w:szCs w:val="28"/>
        </w:rPr>
        <w:t>8</w:t>
      </w:r>
      <w:r w:rsidR="001120C3" w:rsidRPr="00801FE5">
        <w:rPr>
          <w:sz w:val="28"/>
          <w:szCs w:val="28"/>
        </w:rPr>
        <w:t xml:space="preserve"> от </w:t>
      </w:r>
      <w:r w:rsidR="001120C3">
        <w:rPr>
          <w:sz w:val="28"/>
          <w:szCs w:val="28"/>
        </w:rPr>
        <w:t>08.06.</w:t>
      </w:r>
      <w:r w:rsidR="001120C3" w:rsidRPr="00801FE5">
        <w:rPr>
          <w:sz w:val="28"/>
          <w:szCs w:val="28"/>
        </w:rPr>
        <w:t>2018 г.),</w:t>
      </w:r>
    </w:p>
    <w:p w:rsidR="00801FE5" w:rsidRPr="00801FE5" w:rsidRDefault="00801FE5" w:rsidP="002D4BD0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руководствуясь п. 1 ч. 7,  ч.12  ст. 55.6 Градостроительного кодекса РФ,    принять общество с ограниченной ответственностью </w:t>
      </w:r>
      <w:r w:rsidR="002D4BD0"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>Арзамас</w:t>
      </w:r>
      <w:r w:rsidR="002D4BD0"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>1152350</w:t>
      </w:r>
      <w:r w:rsidR="002D4BD0"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1124101006039) </w:t>
      </w:r>
      <w:r w:rsidRPr="00801FE5">
        <w:rPr>
          <w:rFonts w:ascii="Times New Roman" w:hAnsi="Times New Roman" w:cs="Times New Roman"/>
          <w:sz w:val="28"/>
          <w:szCs w:val="28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в члены Союза строителей Камчатки, согласно заявлению.</w:t>
      </w: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6; «ПРОТИВ»: 0; «ВОЗДЕРЖАЛИСЬ»: 0.</w:t>
      </w: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2D4BD0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2D4BD0" w:rsidRDefault="002D4BD0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                                                                                         Воронов Н.В.</w:t>
      </w:r>
    </w:p>
    <w:p w:rsidR="00801FE5" w:rsidRPr="00801FE5" w:rsidRDefault="00801FE5" w:rsidP="00801FE5">
      <w:pPr>
        <w:tabs>
          <w:tab w:val="left" w:pos="284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</w:p>
    <w:p w:rsidR="00801FE5" w:rsidRPr="00801FE5" w:rsidRDefault="00801FE5" w:rsidP="00801FE5">
      <w:pPr>
        <w:suppressAutoHyphens/>
        <w:spacing w:before="120" w:after="0" w:line="240" w:lineRule="auto"/>
        <w:ind w:left="-284"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                   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Шевченко С.В.</w:t>
      </w:r>
      <w:r w:rsidRPr="00801FE5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  <w:r w:rsidRPr="00801F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</w:p>
    <w:p w:rsidR="00801FE5" w:rsidRPr="00801FE5" w:rsidRDefault="00801FE5" w:rsidP="00801FE5">
      <w:pPr>
        <w:suppressAutoHyphens/>
        <w:spacing w:before="120" w:after="0" w:line="240" w:lineRule="auto"/>
        <w:ind w:left="-284"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1FE5" w:rsidRPr="00801FE5" w:rsidRDefault="00801FE5" w:rsidP="00801FE5">
      <w:pPr>
        <w:rPr>
          <w:rFonts w:ascii="Times New Roman" w:hAnsi="Times New Roman" w:cs="Times New Roman"/>
          <w:sz w:val="28"/>
          <w:szCs w:val="28"/>
        </w:rPr>
      </w:pPr>
    </w:p>
    <w:p w:rsidR="005E650E" w:rsidRDefault="005E650E"/>
    <w:sectPr w:rsidR="005E650E" w:rsidSect="00EF39B7">
      <w:pgSz w:w="11906" w:h="16838"/>
      <w:pgMar w:top="284" w:right="850" w:bottom="993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2677485"/>
    <w:multiLevelType w:val="multilevel"/>
    <w:tmpl w:val="8F205918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A7"/>
    <w:rsid w:val="001120C3"/>
    <w:rsid w:val="002D4BD0"/>
    <w:rsid w:val="005D6035"/>
    <w:rsid w:val="005E650E"/>
    <w:rsid w:val="00801FE5"/>
    <w:rsid w:val="00821225"/>
    <w:rsid w:val="00896EA9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F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F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5</cp:revision>
  <dcterms:created xsi:type="dcterms:W3CDTF">2018-06-07T05:48:00Z</dcterms:created>
  <dcterms:modified xsi:type="dcterms:W3CDTF">2018-06-08T01:52:00Z</dcterms:modified>
</cp:coreProperties>
</file>